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A35C7">
      <w:pPr>
        <w:pStyle w:val="3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关于信阳市中医院</w:t>
      </w:r>
    </w:p>
    <w:p w14:paraId="418729EB">
      <w:pPr>
        <w:pStyle w:val="3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医养结合服务能力提升项目整改实施方案</w:t>
      </w:r>
    </w:p>
    <w:p w14:paraId="61BABCE1">
      <w:pPr>
        <w:pStyle w:val="2"/>
        <w:rPr>
          <w:rFonts w:hint="eastAsia" w:ascii="黑体" w:hAnsi="黑体" w:eastAsia="黑体" w:cs="黑体"/>
          <w:b w:val="0"/>
          <w:bCs w:val="0"/>
          <w:sz w:val="32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44"/>
        </w:rPr>
        <w:t>基础设施改造部分</w:t>
      </w:r>
    </w:p>
    <w:p w14:paraId="6E2D42BF"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改造养老病房及护理病房内部分病房卫生间、增加适老化设施。改造范围:卫生间所有蹲便改座便，增加防滑设施、残疾人扶手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修复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原地砖及防水层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等。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卫生间改造具体要求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病房座便器选用陶瓷材质，符合GB/T6952标准，釉面耐消毒药剂、易清洁，一级水效，单次冲水量≤4L。优先壁挂式，减少卫生死角；采用感应或脚踏式非手动冲水，座圈为抗菌材质。安装高度约450mm，无障碍区域配套安全扶手；水封合格，防臭、排污顺畅，无渗漏。产品须提供合格证与检测报告；修复拆除后防水及地砖；施工总工程量15个卫生间。</w:t>
      </w:r>
    </w:p>
    <w:p w14:paraId="07A4FE57">
      <w:pPr>
        <w:pStyle w:val="2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3A568C5-05B6-41FC-92DF-050A2F52AD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66205"/>
    <w:rsid w:val="51B6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2026-10-13T00:59:00Z</dcterms:created>
  <dc:creator>枫叶</dc:creator>
  <cp:lastModifiedBy>枫叶</cp:lastModifiedBy>
  <dcterms:modified xsi:type="dcterms:W3CDTF">2026-10-13T01:10:27Z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1A38CE85B7B342FBB50E91282A3056AE_11</vt:lpwstr>
  </property>
  <property fmtid="{D5CDD505-2E9C-101B-9397-08002B2CF9AE}" pid="4" name="KSOTemplateDocerSaveRecord">
    <vt:lpwstr>eyJoZGlkIjoiYzg4ODdmYzgwZTMyNzc3MGRhM2YwODI4NDFmYjU5MDMiLCJ1c2VySWQiOiI0NDk0NTE4NDAifQ==</vt:lpwstr>
  </property>
</Properties>
</file>